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tblW w:w="14029" w:type="dxa"/>
        <w:tblLook w:val="04A0" w:firstRow="1" w:lastRow="0" w:firstColumn="1" w:lastColumn="0" w:noHBand="0" w:noVBand="1"/>
      </w:tblPr>
      <w:tblGrid>
        <w:gridCol w:w="2390"/>
        <w:gridCol w:w="2427"/>
        <w:gridCol w:w="3116"/>
        <w:gridCol w:w="2268"/>
        <w:gridCol w:w="3828"/>
      </w:tblGrid>
      <w:tr w:rsidR="00A8690A" w:rsidTr="00BA46B5">
        <w:tc>
          <w:tcPr>
            <w:tcW w:w="2390" w:type="dxa"/>
            <w:shd w:val="clear" w:color="auto" w:fill="94D1E2" w:themeFill="accent5" w:themeFillTint="99"/>
          </w:tcPr>
          <w:p w:rsidR="00A8690A" w:rsidRPr="00BA46B5" w:rsidRDefault="00A8690A" w:rsidP="00680E3E">
            <w:pPr>
              <w:rPr>
                <w:rFonts w:cstheme="minorHAnsi"/>
                <w:b/>
                <w:sz w:val="24"/>
                <w:szCs w:val="24"/>
              </w:rPr>
            </w:pPr>
            <w:r w:rsidRPr="00BA46B5">
              <w:rPr>
                <w:rFonts w:cstheme="minorHAnsi"/>
                <w:b/>
                <w:sz w:val="24"/>
                <w:szCs w:val="24"/>
              </w:rPr>
              <w:t>Plugin</w:t>
            </w:r>
          </w:p>
          <w:p w:rsidR="00A8690A" w:rsidRPr="00BA46B5" w:rsidRDefault="00A8690A" w:rsidP="00680E3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A8690A" w:rsidRPr="00BA46B5" w:rsidRDefault="00A8690A" w:rsidP="00680E3E">
            <w:pPr>
              <w:rPr>
                <w:rFonts w:cstheme="minorHAnsi"/>
                <w:b/>
                <w:sz w:val="24"/>
                <w:szCs w:val="24"/>
              </w:rPr>
            </w:pPr>
            <w:r w:rsidRPr="00BA46B5">
              <w:rPr>
                <w:rFonts w:cstheme="minorHAnsi"/>
                <w:b/>
                <w:sz w:val="24"/>
                <w:szCs w:val="24"/>
              </w:rPr>
              <w:t>Integration with subscription access</w:t>
            </w:r>
          </w:p>
        </w:tc>
        <w:tc>
          <w:tcPr>
            <w:tcW w:w="3116" w:type="dxa"/>
          </w:tcPr>
          <w:p w:rsidR="00A8690A" w:rsidRPr="00BA46B5" w:rsidRDefault="00563138" w:rsidP="00680E3E">
            <w:pPr>
              <w:rPr>
                <w:rFonts w:cstheme="minorHAnsi"/>
                <w:b/>
                <w:sz w:val="24"/>
                <w:szCs w:val="24"/>
              </w:rPr>
            </w:pPr>
            <w:r w:rsidRPr="00BA46B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A8690A" w:rsidRPr="00BA46B5" w:rsidRDefault="00A8690A" w:rsidP="00680E3E">
            <w:pPr>
              <w:rPr>
                <w:rFonts w:cstheme="minorHAnsi"/>
                <w:b/>
                <w:sz w:val="24"/>
                <w:szCs w:val="24"/>
              </w:rPr>
            </w:pPr>
            <w:r w:rsidRPr="00BA46B5">
              <w:rPr>
                <w:rFonts w:cstheme="minorHAnsi"/>
                <w:b/>
                <w:sz w:val="24"/>
                <w:szCs w:val="24"/>
              </w:rPr>
              <w:t>Street Cred</w:t>
            </w:r>
          </w:p>
        </w:tc>
        <w:tc>
          <w:tcPr>
            <w:tcW w:w="3828" w:type="dxa"/>
          </w:tcPr>
          <w:p w:rsidR="00A8690A" w:rsidRPr="00BA46B5" w:rsidRDefault="00A8690A" w:rsidP="00680E3E">
            <w:pPr>
              <w:rPr>
                <w:rFonts w:cstheme="minorHAnsi"/>
                <w:b/>
                <w:sz w:val="24"/>
                <w:szCs w:val="24"/>
              </w:rPr>
            </w:pPr>
            <w:r w:rsidRPr="00BA46B5">
              <w:rPr>
                <w:rFonts w:cstheme="minorHAnsi"/>
                <w:b/>
                <w:sz w:val="24"/>
                <w:szCs w:val="24"/>
              </w:rPr>
              <w:t>Specials</w:t>
            </w:r>
          </w:p>
        </w:tc>
      </w:tr>
      <w:tr w:rsidR="00A8690A" w:rsidTr="00BA46B5">
        <w:trPr>
          <w:trHeight w:val="1410"/>
        </w:trPr>
        <w:tc>
          <w:tcPr>
            <w:tcW w:w="2390" w:type="dxa"/>
            <w:shd w:val="clear" w:color="auto" w:fill="EAF4D7" w:themeFill="accent1" w:themeFillTint="33"/>
          </w:tcPr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E284C">
              <w:rPr>
                <w:rFonts w:ascii="Calibri" w:hAnsi="Calibri" w:cs="Arial"/>
                <w:b/>
                <w:sz w:val="24"/>
                <w:szCs w:val="24"/>
              </w:rPr>
              <w:t>Lean Library (aka Library Access)</w:t>
            </w: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EAF4D7" w:themeFill="accent1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Yes, checks link resolver</w:t>
            </w:r>
            <w:r w:rsidR="00AF7D24">
              <w:rPr>
                <w:rFonts w:ascii="Calibri" w:hAnsi="Calibri" w:cs="Arial"/>
                <w:sz w:val="24"/>
                <w:szCs w:val="24"/>
              </w:rPr>
              <w:t xml:space="preserve"> first for subscription access</w:t>
            </w:r>
            <w:r w:rsidRPr="00BA2A40">
              <w:rPr>
                <w:rFonts w:ascii="Calibri" w:hAnsi="Calibri" w:cs="Arial"/>
                <w:sz w:val="24"/>
                <w:szCs w:val="24"/>
              </w:rPr>
              <w:t xml:space="preserve">; full integration </w:t>
            </w:r>
            <w:r w:rsidR="00AF7D24">
              <w:rPr>
                <w:rFonts w:ascii="Calibri" w:hAnsi="Calibri" w:cs="Arial"/>
                <w:sz w:val="24"/>
                <w:szCs w:val="24"/>
              </w:rPr>
              <w:t xml:space="preserve">with </w:t>
            </w:r>
            <w:proofErr w:type="spellStart"/>
            <w:r w:rsidR="00AF7D24">
              <w:rPr>
                <w:rFonts w:ascii="Calibri" w:hAnsi="Calibri" w:cs="Arial"/>
                <w:sz w:val="24"/>
                <w:szCs w:val="24"/>
              </w:rPr>
              <w:t>EZproxy</w:t>
            </w:r>
            <w:proofErr w:type="spellEnd"/>
            <w:r w:rsidR="00AF7D2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A2A40">
              <w:rPr>
                <w:rFonts w:ascii="Calibri" w:hAnsi="Calibri" w:cs="Arial"/>
                <w:sz w:val="24"/>
                <w:szCs w:val="24"/>
              </w:rPr>
              <w:t>for off campus users</w:t>
            </w:r>
          </w:p>
        </w:tc>
        <w:tc>
          <w:tcPr>
            <w:tcW w:w="3116" w:type="dxa"/>
            <w:shd w:val="clear" w:color="auto" w:fill="EAF4D7" w:themeFill="accent1" w:themeFillTint="33"/>
          </w:tcPr>
          <w:p w:rsidR="00A8690A" w:rsidRDefault="00563138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All Cambridge’s data on subscription entitlements </w:t>
            </w:r>
          </w:p>
          <w:p w:rsidR="00563138" w:rsidRDefault="00563138" w:rsidP="00680E3E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563138" w:rsidRPr="00BA2A40" w:rsidRDefault="00563138" w:rsidP="00680E3E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Unpaywall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database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Publisher-owned (SAGE)</w:t>
            </w:r>
          </w:p>
        </w:tc>
        <w:tc>
          <w:tcPr>
            <w:tcW w:w="3828" w:type="dxa"/>
            <w:shd w:val="clear" w:color="auto" w:fill="EAF4D7" w:themeFill="accent1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Inter-Library Loan form connection when OA version unavailable</w:t>
            </w:r>
          </w:p>
        </w:tc>
      </w:tr>
      <w:tr w:rsidR="00A8690A" w:rsidTr="00BA46B5">
        <w:tc>
          <w:tcPr>
            <w:tcW w:w="2390" w:type="dxa"/>
            <w:shd w:val="clear" w:color="auto" w:fill="D9F2EC" w:themeFill="accent4" w:themeFillTint="33"/>
          </w:tcPr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E284C">
              <w:rPr>
                <w:rFonts w:ascii="Calibri" w:hAnsi="Calibri" w:cs="Arial"/>
                <w:b/>
                <w:sz w:val="24"/>
                <w:szCs w:val="24"/>
              </w:rPr>
              <w:t>CORE Discovery</w:t>
            </w: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9F2EC" w:themeFill="accent4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No</w:t>
            </w:r>
          </w:p>
        </w:tc>
        <w:tc>
          <w:tcPr>
            <w:tcW w:w="3116" w:type="dxa"/>
            <w:shd w:val="clear" w:color="auto" w:fill="D9F2EC" w:themeFill="accent4" w:themeFillTint="33"/>
          </w:tcPr>
          <w:p w:rsidR="00A8690A" w:rsidRPr="00BA2A40" w:rsidRDefault="00563138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The </w:t>
            </w:r>
            <w:hyperlink r:id="rId4" w:history="1">
              <w:r w:rsidRPr="00563138">
                <w:rPr>
                  <w:rStyle w:val="Hyperlink"/>
                  <w:rFonts w:ascii="Calibri" w:hAnsi="Calibri" w:cs="Arial"/>
                  <w:sz w:val="24"/>
                  <w:szCs w:val="24"/>
                </w:rPr>
                <w:t>biggest collection of OA full texts</w:t>
              </w:r>
            </w:hyperlink>
          </w:p>
        </w:tc>
        <w:tc>
          <w:tcPr>
            <w:tcW w:w="2268" w:type="dxa"/>
            <w:shd w:val="clear" w:color="auto" w:fill="D9F2EC" w:themeFill="accent4" w:themeFillTint="33"/>
          </w:tcPr>
          <w:p w:rsidR="00A8690A" w:rsidRPr="00BA2A40" w:rsidRDefault="00A8690A" w:rsidP="00A8690A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Community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(not for profit service from the Open University and </w:t>
            </w:r>
            <w:hyperlink r:id="rId5" w:history="1">
              <w:proofErr w:type="spellStart"/>
              <w:r w:rsidRPr="00AF7D24">
                <w:rPr>
                  <w:rStyle w:val="Hyperlink"/>
                  <w:rFonts w:ascii="Calibri" w:hAnsi="Calibri" w:cs="Arial"/>
                  <w:sz w:val="24"/>
                  <w:szCs w:val="24"/>
                </w:rPr>
                <w:t>Jisc</w:t>
              </w:r>
              <w:proofErr w:type="spellEnd"/>
            </w:hyperlink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D9F2EC" w:themeFill="accent4" w:themeFillTint="33"/>
          </w:tcPr>
          <w:p w:rsidR="00A8690A" w:rsidRPr="00BA2A40" w:rsidRDefault="00AF7D24" w:rsidP="00680E3E">
            <w:pPr>
              <w:rPr>
                <w:rFonts w:ascii="Calibri" w:hAnsi="Calibri" w:cs="Arial"/>
                <w:sz w:val="24"/>
                <w:szCs w:val="24"/>
              </w:rPr>
            </w:pPr>
            <w:hyperlink r:id="rId6" w:history="1">
              <w:r w:rsidR="00A8690A" w:rsidRPr="00AF7D24">
                <w:rPr>
                  <w:rStyle w:val="Hyperlink"/>
                  <w:rFonts w:ascii="Calibri" w:hAnsi="Calibri" w:cs="Arial"/>
                  <w:sz w:val="24"/>
                  <w:szCs w:val="24"/>
                </w:rPr>
                <w:t>OR 2019</w:t>
              </w:r>
            </w:hyperlink>
            <w:r w:rsidR="00A8690A">
              <w:rPr>
                <w:rFonts w:ascii="Calibri" w:hAnsi="Calibri" w:cs="Arial"/>
                <w:sz w:val="24"/>
                <w:szCs w:val="24"/>
              </w:rPr>
              <w:t xml:space="preserve"> gave CORE the edge over all other plugins in terms of recall and precision</w:t>
            </w:r>
          </w:p>
        </w:tc>
      </w:tr>
      <w:tr w:rsidR="00A8690A" w:rsidTr="00BA46B5">
        <w:tc>
          <w:tcPr>
            <w:tcW w:w="2390" w:type="dxa"/>
            <w:shd w:val="clear" w:color="auto" w:fill="DBEFF5" w:themeFill="accent5" w:themeFillTint="33"/>
          </w:tcPr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E284C">
              <w:rPr>
                <w:rFonts w:ascii="Calibri" w:hAnsi="Calibri" w:cs="Arial"/>
                <w:b/>
                <w:sz w:val="24"/>
                <w:szCs w:val="24"/>
              </w:rPr>
              <w:t>Open Access Button</w:t>
            </w: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BEFF5" w:themeFill="accent5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No</w:t>
            </w:r>
          </w:p>
        </w:tc>
        <w:tc>
          <w:tcPr>
            <w:tcW w:w="3116" w:type="dxa"/>
            <w:shd w:val="clear" w:color="auto" w:fill="DBEFF5" w:themeFill="accent5" w:themeFillTint="33"/>
          </w:tcPr>
          <w:p w:rsidR="00A8690A" w:rsidRPr="00BA2A40" w:rsidRDefault="00563138" w:rsidP="00BA46B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Searches across multiple </w:t>
            </w:r>
            <w:r w:rsidR="00CE284C">
              <w:rPr>
                <w:rFonts w:ascii="Calibri" w:hAnsi="Calibri" w:cs="Arial"/>
                <w:sz w:val="24"/>
                <w:szCs w:val="24"/>
              </w:rPr>
              <w:t>OA aggrega</w:t>
            </w:r>
            <w:r w:rsidR="00BA46B5">
              <w:rPr>
                <w:rFonts w:ascii="Calibri" w:hAnsi="Calibri" w:cs="Arial"/>
                <w:sz w:val="24"/>
                <w:szCs w:val="24"/>
              </w:rPr>
              <w:t xml:space="preserve">tors and OA sources (including </w:t>
            </w:r>
            <w:proofErr w:type="spellStart"/>
            <w:r w:rsidR="00BA46B5">
              <w:rPr>
                <w:rFonts w:ascii="Calibri" w:hAnsi="Calibri" w:cs="Arial"/>
                <w:sz w:val="24"/>
                <w:szCs w:val="24"/>
              </w:rPr>
              <w:t>oa</w:t>
            </w:r>
            <w:r w:rsidR="00CE284C">
              <w:rPr>
                <w:rFonts w:ascii="Calibri" w:hAnsi="Calibri" w:cs="Arial"/>
                <w:sz w:val="24"/>
                <w:szCs w:val="24"/>
              </w:rPr>
              <w:t>DOI</w:t>
            </w:r>
            <w:proofErr w:type="spellEnd"/>
            <w:r w:rsidR="00CE284C">
              <w:rPr>
                <w:rFonts w:ascii="Calibri" w:hAnsi="Calibri" w:cs="Arial"/>
                <w:sz w:val="24"/>
                <w:szCs w:val="24"/>
              </w:rPr>
              <w:t xml:space="preserve">, the data behind </w:t>
            </w:r>
            <w:proofErr w:type="spellStart"/>
            <w:r w:rsidR="00CE284C">
              <w:rPr>
                <w:rFonts w:ascii="Calibri" w:hAnsi="Calibri" w:cs="Arial"/>
                <w:sz w:val="24"/>
                <w:szCs w:val="24"/>
              </w:rPr>
              <w:t>Unpaywall</w:t>
            </w:r>
            <w:proofErr w:type="spellEnd"/>
            <w:r w:rsidR="00CE284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BEFF5" w:themeFill="accent5" w:themeFillTint="33"/>
          </w:tcPr>
          <w:p w:rsidR="00A8690A" w:rsidRDefault="00AF7D24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Funded by </w:t>
            </w:r>
            <w:hyperlink r:id="rId7" w:history="1">
              <w:r w:rsidRPr="00AF7D24">
                <w:rPr>
                  <w:rStyle w:val="Hyperlink"/>
                  <w:rFonts w:ascii="Calibri" w:hAnsi="Calibri" w:cs="Arial"/>
                  <w:sz w:val="24"/>
                  <w:szCs w:val="24"/>
                </w:rPr>
                <w:t>Arcadia</w:t>
              </w:r>
            </w:hyperlink>
            <w:r>
              <w:rPr>
                <w:rFonts w:ascii="Calibri" w:hAnsi="Calibri" w:cs="Arial"/>
                <w:sz w:val="24"/>
                <w:szCs w:val="24"/>
              </w:rPr>
              <w:t xml:space="preserve">, supported by </w:t>
            </w:r>
            <w:hyperlink r:id="rId8" w:history="1">
              <w:r w:rsidRPr="00AF7D24">
                <w:rPr>
                  <w:rStyle w:val="Hyperlink"/>
                  <w:rFonts w:ascii="Calibri" w:hAnsi="Calibri" w:cs="Arial"/>
                  <w:sz w:val="24"/>
                  <w:szCs w:val="24"/>
                </w:rPr>
                <w:t>SPARC</w:t>
              </w:r>
            </w:hyperlink>
          </w:p>
          <w:p w:rsidR="00AF7D24" w:rsidRPr="00BA2A40" w:rsidRDefault="00AF7D24" w:rsidP="00680E3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BEFF5" w:themeFill="accent5" w:themeFillTint="33"/>
          </w:tcPr>
          <w:p w:rsidR="00A8690A" w:rsidRPr="00BA2A40" w:rsidRDefault="00AF7D24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Includes </w:t>
            </w:r>
            <w:r w:rsidR="00563138">
              <w:rPr>
                <w:rFonts w:ascii="Calibri" w:hAnsi="Calibri" w:cs="Arial"/>
                <w:sz w:val="24"/>
                <w:szCs w:val="24"/>
              </w:rPr>
              <w:t>“</w:t>
            </w:r>
            <w:r>
              <w:rPr>
                <w:rFonts w:ascii="Calibri" w:hAnsi="Calibri" w:cs="Arial"/>
                <w:sz w:val="24"/>
                <w:szCs w:val="24"/>
              </w:rPr>
              <w:t>Requests</w:t>
            </w:r>
            <w:r w:rsidR="00563138">
              <w:rPr>
                <w:rFonts w:ascii="Calibri" w:hAnsi="Calibri" w:cs="Arial"/>
                <w:sz w:val="24"/>
                <w:szCs w:val="24"/>
              </w:rPr>
              <w:t>”</w:t>
            </w:r>
            <w:r>
              <w:rPr>
                <w:rFonts w:ascii="Calibri" w:hAnsi="Calibri" w:cs="Arial"/>
                <w:sz w:val="24"/>
                <w:szCs w:val="24"/>
              </w:rPr>
              <w:t xml:space="preserve"> service to trigger request to author to convert subscription article</w:t>
            </w:r>
            <w:r w:rsidR="00563138">
              <w:rPr>
                <w:rFonts w:ascii="Calibri" w:hAnsi="Calibri" w:cs="Arial"/>
                <w:sz w:val="24"/>
                <w:szCs w:val="24"/>
              </w:rPr>
              <w:t xml:space="preserve"> to OA and a range of </w:t>
            </w:r>
            <w:hyperlink r:id="rId9" w:history="1">
              <w:r w:rsidR="00563138" w:rsidRPr="00563138">
                <w:rPr>
                  <w:rStyle w:val="Hyperlink"/>
                  <w:rFonts w:ascii="Calibri" w:hAnsi="Calibri" w:cs="Arial"/>
                  <w:sz w:val="24"/>
                  <w:szCs w:val="24"/>
                </w:rPr>
                <w:t>tools for libraries</w:t>
              </w:r>
            </w:hyperlink>
          </w:p>
        </w:tc>
      </w:tr>
      <w:tr w:rsidR="00A8690A" w:rsidTr="00BA46B5">
        <w:tc>
          <w:tcPr>
            <w:tcW w:w="2390" w:type="dxa"/>
            <w:shd w:val="clear" w:color="auto" w:fill="DCF3FD" w:themeFill="accent6" w:themeFillTint="33"/>
          </w:tcPr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  <w:proofErr w:type="spellStart"/>
            <w:r w:rsidRPr="00CE284C">
              <w:rPr>
                <w:rFonts w:ascii="Calibri" w:hAnsi="Calibri" w:cs="Arial"/>
                <w:b/>
                <w:sz w:val="24"/>
                <w:szCs w:val="24"/>
              </w:rPr>
              <w:t>Unpaywall</w:t>
            </w:r>
            <w:proofErr w:type="spellEnd"/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CF3FD" w:themeFill="accent6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No</w:t>
            </w:r>
            <w:r w:rsidR="00563138">
              <w:rPr>
                <w:rFonts w:ascii="Calibri" w:hAnsi="Calibri" w:cs="Arial"/>
                <w:sz w:val="24"/>
                <w:szCs w:val="24"/>
              </w:rPr>
              <w:t>, but growing integrations with library discovery services</w:t>
            </w:r>
          </w:p>
        </w:tc>
        <w:tc>
          <w:tcPr>
            <w:tcW w:w="3116" w:type="dxa"/>
            <w:shd w:val="clear" w:color="auto" w:fill="DCF3FD" w:themeFill="accent6" w:themeFillTint="33"/>
          </w:tcPr>
          <w:p w:rsidR="00A8690A" w:rsidRPr="00BA2A40" w:rsidRDefault="00CE284C" w:rsidP="00BA46B5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Unpaywall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database</w:t>
            </w:r>
            <w:r w:rsidR="00BA46B5">
              <w:rPr>
                <w:rFonts w:ascii="Calibri" w:hAnsi="Calibri" w:cs="Arial"/>
                <w:sz w:val="24"/>
                <w:szCs w:val="24"/>
              </w:rPr>
              <w:t xml:space="preserve"> (originally </w:t>
            </w:r>
            <w:proofErr w:type="spellStart"/>
            <w:r w:rsidR="00BA46B5">
              <w:rPr>
                <w:rFonts w:ascii="Calibri" w:hAnsi="Calibri" w:cs="Arial"/>
                <w:sz w:val="24"/>
                <w:szCs w:val="24"/>
              </w:rPr>
              <w:t>oaDOI</w:t>
            </w:r>
            <w:proofErr w:type="spellEnd"/>
            <w:r w:rsidR="00BA46B5">
              <w:rPr>
                <w:rFonts w:ascii="Calibri" w:hAnsi="Calibri" w:cs="Arial"/>
                <w:sz w:val="24"/>
                <w:szCs w:val="24"/>
              </w:rPr>
              <w:t>) harvesting OA aggregators and OA sources; e</w:t>
            </w:r>
            <w:r w:rsidR="00563138">
              <w:rPr>
                <w:rFonts w:ascii="Calibri" w:hAnsi="Calibri" w:cs="Arial"/>
                <w:sz w:val="24"/>
                <w:szCs w:val="24"/>
              </w:rPr>
              <w:t xml:space="preserve">xcludes </w:t>
            </w:r>
            <w:proofErr w:type="spellStart"/>
            <w:r w:rsidR="00563138">
              <w:rPr>
                <w:rFonts w:ascii="Calibri" w:hAnsi="Calibri" w:cs="Arial"/>
                <w:sz w:val="24"/>
                <w:szCs w:val="24"/>
              </w:rPr>
              <w:t>ResearchGate</w:t>
            </w:r>
            <w:proofErr w:type="spellEnd"/>
            <w:r w:rsidR="00563138">
              <w:rPr>
                <w:rFonts w:ascii="Calibri" w:hAnsi="Calibri" w:cs="Arial"/>
                <w:sz w:val="24"/>
                <w:szCs w:val="24"/>
              </w:rPr>
              <w:t>; Academia.edu</w:t>
            </w:r>
          </w:p>
        </w:tc>
        <w:tc>
          <w:tcPr>
            <w:tcW w:w="2268" w:type="dxa"/>
            <w:shd w:val="clear" w:color="auto" w:fill="DCF3FD" w:themeFill="accent6" w:themeFillTint="33"/>
          </w:tcPr>
          <w:p w:rsidR="00A8690A" w:rsidRPr="00BA2A40" w:rsidRDefault="00AF7D24" w:rsidP="00680E3E">
            <w:pPr>
              <w:rPr>
                <w:rFonts w:ascii="Calibri" w:hAnsi="Calibri" w:cs="Arial"/>
                <w:sz w:val="24"/>
                <w:szCs w:val="24"/>
              </w:rPr>
            </w:pPr>
            <w:hyperlink r:id="rId10" w:history="1">
              <w:r w:rsidRPr="00AF7D24">
                <w:rPr>
                  <w:rStyle w:val="Hyperlink"/>
                  <w:rFonts w:ascii="Calibri" w:hAnsi="Calibri" w:cs="Arial"/>
                  <w:sz w:val="24"/>
                  <w:szCs w:val="24"/>
                </w:rPr>
                <w:t>Our Research</w:t>
              </w:r>
            </w:hyperlink>
            <w:r>
              <w:rPr>
                <w:rFonts w:ascii="Calibri" w:hAnsi="Calibri" w:cs="Arial"/>
                <w:sz w:val="24"/>
                <w:szCs w:val="24"/>
              </w:rPr>
              <w:t>, a not-for-profit open-source project</w:t>
            </w:r>
          </w:p>
        </w:tc>
        <w:tc>
          <w:tcPr>
            <w:tcW w:w="3828" w:type="dxa"/>
            <w:shd w:val="clear" w:color="auto" w:fill="DCF3FD" w:themeFill="accent6" w:themeFillTint="33"/>
          </w:tcPr>
          <w:p w:rsidR="00A8690A" w:rsidRPr="00BA2A40" w:rsidRDefault="00CE284C" w:rsidP="00BA46B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Integrated with Web</w:t>
            </w:r>
            <w:r w:rsidR="00BA46B5">
              <w:rPr>
                <w:rFonts w:ascii="Calibri" w:hAnsi="Calibri" w:cs="Arial"/>
                <w:sz w:val="24"/>
                <w:szCs w:val="24"/>
              </w:rPr>
              <w:t xml:space="preserve"> of Science, Scopus, PubMed, </w:t>
            </w:r>
            <w:r>
              <w:rPr>
                <w:rFonts w:ascii="Calibri" w:hAnsi="Calibri" w:cs="Arial"/>
                <w:sz w:val="24"/>
                <w:szCs w:val="24"/>
              </w:rPr>
              <w:t>m</w:t>
            </w:r>
            <w:r w:rsidR="00BA46B5">
              <w:rPr>
                <w:rFonts w:ascii="Calibri" w:hAnsi="Calibri" w:cs="Arial"/>
                <w:sz w:val="24"/>
                <w:szCs w:val="24"/>
              </w:rPr>
              <w:t>ost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A46B5">
              <w:rPr>
                <w:rFonts w:ascii="Calibri" w:hAnsi="Calibri" w:cs="Arial"/>
                <w:sz w:val="24"/>
                <w:szCs w:val="24"/>
              </w:rPr>
              <w:t>databases; data-enrichment for improving linking and licence transparency; database maps DOI to URL</w:t>
            </w:r>
          </w:p>
        </w:tc>
      </w:tr>
      <w:tr w:rsidR="00A8690A" w:rsidTr="00BA46B5">
        <w:tc>
          <w:tcPr>
            <w:tcW w:w="2390" w:type="dxa"/>
            <w:shd w:val="clear" w:color="auto" w:fill="D3F0E2" w:themeFill="accent3" w:themeFillTint="33"/>
          </w:tcPr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  <w:proofErr w:type="spellStart"/>
            <w:r w:rsidRPr="00CE284C">
              <w:rPr>
                <w:rFonts w:ascii="Calibri" w:hAnsi="Calibri" w:cs="Arial"/>
                <w:b/>
                <w:sz w:val="24"/>
                <w:szCs w:val="24"/>
              </w:rPr>
              <w:t>Kopernio</w:t>
            </w:r>
            <w:proofErr w:type="spellEnd"/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3F0E2" w:themeFill="accent3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Yes, proxies URL when off campus</w:t>
            </w:r>
          </w:p>
        </w:tc>
        <w:tc>
          <w:tcPr>
            <w:tcW w:w="3116" w:type="dxa"/>
            <w:shd w:val="clear" w:color="auto" w:fill="D3F0E2" w:themeFill="accent3" w:themeFillTint="33"/>
          </w:tcPr>
          <w:p w:rsidR="00A8690A" w:rsidRPr="00BA2A40" w:rsidRDefault="00A8690A" w:rsidP="00A8690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Known to use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ResearchGate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or Academia.edu</w:t>
            </w:r>
          </w:p>
        </w:tc>
        <w:tc>
          <w:tcPr>
            <w:tcW w:w="2268" w:type="dxa"/>
            <w:shd w:val="clear" w:color="auto" w:fill="D3F0E2" w:themeFill="accent3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Publis</w:t>
            </w:r>
            <w:r>
              <w:rPr>
                <w:rFonts w:ascii="Calibri" w:hAnsi="Calibri" w:cs="Arial"/>
                <w:sz w:val="24"/>
                <w:szCs w:val="24"/>
              </w:rPr>
              <w:t xml:space="preserve">her-owned (Web of Science Group;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Clarivate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Analytics)</w:t>
            </w:r>
          </w:p>
        </w:tc>
        <w:tc>
          <w:tcPr>
            <w:tcW w:w="3828" w:type="dxa"/>
            <w:shd w:val="clear" w:color="auto" w:fill="D3F0E2" w:themeFill="accent3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Integration with Web of Science; Premium option for sync to Dropbox + 2GB of locker storage</w:t>
            </w:r>
          </w:p>
        </w:tc>
      </w:tr>
      <w:tr w:rsidR="00A8690A" w:rsidTr="00BA46B5">
        <w:tc>
          <w:tcPr>
            <w:tcW w:w="2390" w:type="dxa"/>
            <w:shd w:val="clear" w:color="auto" w:fill="D6E1DB" w:themeFill="text2" w:themeFillTint="33"/>
          </w:tcPr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E284C">
              <w:rPr>
                <w:rFonts w:ascii="Calibri" w:hAnsi="Calibri" w:cs="Arial"/>
                <w:b/>
                <w:sz w:val="24"/>
                <w:szCs w:val="24"/>
              </w:rPr>
              <w:t>Read (</w:t>
            </w:r>
            <w:proofErr w:type="spellStart"/>
            <w:r w:rsidRPr="00CE284C">
              <w:rPr>
                <w:rFonts w:ascii="Calibri" w:hAnsi="Calibri" w:cs="Arial"/>
                <w:b/>
                <w:sz w:val="24"/>
                <w:szCs w:val="24"/>
              </w:rPr>
              <w:t>QxMD</w:t>
            </w:r>
            <w:proofErr w:type="spellEnd"/>
            <w:r w:rsidRPr="00CE284C">
              <w:rPr>
                <w:rFonts w:ascii="Calibri" w:hAnsi="Calibri" w:cs="Arial"/>
                <w:b/>
                <w:sz w:val="24"/>
                <w:szCs w:val="24"/>
              </w:rPr>
              <w:t>)</w:t>
            </w: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A8690A" w:rsidRPr="00CE284C" w:rsidRDefault="00A8690A" w:rsidP="00680E3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6E1DB" w:themeFill="text2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Yes, proxies URL when off campus</w:t>
            </w:r>
          </w:p>
        </w:tc>
        <w:tc>
          <w:tcPr>
            <w:tcW w:w="3116" w:type="dxa"/>
            <w:shd w:val="clear" w:color="auto" w:fill="D6E1DB" w:themeFill="text2" w:themeFillTint="33"/>
          </w:tcPr>
          <w:p w:rsidR="00A8690A" w:rsidRPr="00BA2A40" w:rsidRDefault="00BA46B5" w:rsidP="00680E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Links to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Cambride’s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subscriptions, PubMed, </w:t>
            </w:r>
            <w:r w:rsidR="00A4743F">
              <w:rPr>
                <w:rFonts w:ascii="Calibri" w:hAnsi="Calibri" w:cs="Arial"/>
                <w:sz w:val="24"/>
                <w:szCs w:val="24"/>
              </w:rPr>
              <w:t xml:space="preserve">its own </w:t>
            </w:r>
            <w:hyperlink r:id="rId11" w:history="1">
              <w:r w:rsidR="00A4743F" w:rsidRPr="00A4743F">
                <w:rPr>
                  <w:rStyle w:val="Hyperlink"/>
                  <w:rFonts w:ascii="Calibri" w:hAnsi="Calibri" w:cs="Arial"/>
                  <w:sz w:val="24"/>
                  <w:szCs w:val="24"/>
                </w:rPr>
                <w:t>web crawler</w:t>
              </w:r>
            </w:hyperlink>
          </w:p>
        </w:tc>
        <w:tc>
          <w:tcPr>
            <w:tcW w:w="2268" w:type="dxa"/>
            <w:shd w:val="clear" w:color="auto" w:fill="D6E1DB" w:themeFill="text2" w:themeFillTint="33"/>
          </w:tcPr>
          <w:p w:rsidR="00A8690A" w:rsidRPr="00BA2A40" w:rsidRDefault="00A8690A" w:rsidP="00680E3E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BA2A40">
              <w:rPr>
                <w:rFonts w:ascii="Calibri" w:hAnsi="Calibri" w:cs="Arial"/>
                <w:sz w:val="24"/>
                <w:szCs w:val="24"/>
              </w:rPr>
              <w:t>QxMD</w:t>
            </w:r>
            <w:proofErr w:type="spellEnd"/>
            <w:r w:rsidRPr="00BA2A40">
              <w:rPr>
                <w:rFonts w:ascii="Calibri" w:hAnsi="Calibri" w:cs="Arial"/>
                <w:sz w:val="24"/>
                <w:szCs w:val="24"/>
              </w:rPr>
              <w:t xml:space="preserve"> is a digital learning tech</w:t>
            </w:r>
            <w:r>
              <w:rPr>
                <w:rFonts w:ascii="Calibri" w:hAnsi="Calibri" w:cs="Arial"/>
                <w:sz w:val="24"/>
                <w:szCs w:val="24"/>
              </w:rPr>
              <w:t>nology</w:t>
            </w:r>
            <w:r w:rsidRPr="00BA2A40">
              <w:rPr>
                <w:rFonts w:ascii="Calibri" w:hAnsi="Calibri" w:cs="Arial"/>
                <w:sz w:val="24"/>
                <w:szCs w:val="24"/>
              </w:rPr>
              <w:t xml:space="preserve"> company</w:t>
            </w:r>
          </w:p>
        </w:tc>
        <w:tc>
          <w:tcPr>
            <w:tcW w:w="3828" w:type="dxa"/>
            <w:shd w:val="clear" w:color="auto" w:fill="D6E1DB" w:themeFill="text2" w:themeFillTint="33"/>
          </w:tcPr>
          <w:p w:rsidR="00A8690A" w:rsidRPr="00BA2A40" w:rsidRDefault="00A8690A" w:rsidP="00BA2A40">
            <w:pPr>
              <w:rPr>
                <w:rFonts w:ascii="Calibri" w:hAnsi="Calibri" w:cs="Arial"/>
                <w:sz w:val="24"/>
                <w:szCs w:val="24"/>
              </w:rPr>
            </w:pPr>
            <w:r w:rsidRPr="00BA2A40">
              <w:rPr>
                <w:rFonts w:ascii="Calibri" w:hAnsi="Calibri" w:cs="Arial"/>
                <w:sz w:val="24"/>
                <w:szCs w:val="24"/>
              </w:rPr>
              <w:t>Current literature awareness tool</w:t>
            </w:r>
            <w:r>
              <w:rPr>
                <w:rFonts w:ascii="Calibri" w:hAnsi="Calibri" w:cs="Arial"/>
                <w:sz w:val="24"/>
                <w:szCs w:val="24"/>
              </w:rPr>
              <w:t xml:space="preserve">; </w:t>
            </w:r>
            <w:r w:rsidRPr="00BA2A40">
              <w:rPr>
                <w:rFonts w:ascii="Calibri" w:hAnsi="Calibri" w:cs="Arial"/>
                <w:sz w:val="24"/>
                <w:szCs w:val="24"/>
              </w:rPr>
              <w:t>personalization features</w:t>
            </w:r>
            <w:r>
              <w:rPr>
                <w:rFonts w:ascii="Calibri" w:hAnsi="Calibri" w:cs="Arial"/>
                <w:sz w:val="24"/>
                <w:szCs w:val="24"/>
              </w:rPr>
              <w:t xml:space="preserve">; </w:t>
            </w:r>
            <w:r w:rsidRPr="00BA2A40">
              <w:rPr>
                <w:rFonts w:ascii="Calibri" w:hAnsi="Calibri" w:cs="Arial"/>
                <w:sz w:val="24"/>
                <w:szCs w:val="24"/>
              </w:rPr>
              <w:t>for medical and health</w:t>
            </w:r>
            <w:r>
              <w:rPr>
                <w:rFonts w:ascii="Calibri" w:hAnsi="Calibri" w:cs="Arial"/>
                <w:sz w:val="24"/>
                <w:szCs w:val="24"/>
              </w:rPr>
              <w:t>care</w:t>
            </w:r>
            <w:r w:rsidRPr="00BA2A40">
              <w:rPr>
                <w:rFonts w:ascii="Calibri" w:hAnsi="Calibri" w:cs="Arial"/>
                <w:sz w:val="24"/>
                <w:szCs w:val="24"/>
              </w:rPr>
              <w:t xml:space="preserve"> professionals</w:t>
            </w:r>
          </w:p>
        </w:tc>
      </w:tr>
    </w:tbl>
    <w:p w:rsidR="000D0A0E" w:rsidRPr="00BA2A40" w:rsidRDefault="00A4743F" w:rsidP="00BA2A40">
      <w:pPr>
        <w:rPr>
          <w:rFonts w:ascii="Calibri" w:hAnsi="Calibri"/>
        </w:rPr>
      </w:pPr>
      <w:bookmarkStart w:id="0" w:name="_GoBack"/>
      <w:bookmarkEnd w:id="0"/>
    </w:p>
    <w:sectPr w:rsidR="000D0A0E" w:rsidRPr="00BA2A40" w:rsidSect="00680E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E"/>
    <w:rsid w:val="00563138"/>
    <w:rsid w:val="005E3607"/>
    <w:rsid w:val="00663B62"/>
    <w:rsid w:val="00680E3E"/>
    <w:rsid w:val="007860FA"/>
    <w:rsid w:val="008204A5"/>
    <w:rsid w:val="00A4743F"/>
    <w:rsid w:val="00A8690A"/>
    <w:rsid w:val="00AF7D24"/>
    <w:rsid w:val="00BA2A40"/>
    <w:rsid w:val="00BA46B5"/>
    <w:rsid w:val="00C86B28"/>
    <w:rsid w:val="00CE284C"/>
    <w:rsid w:val="00DF6184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621D"/>
  <w15:chartTrackingRefBased/>
  <w15:docId w15:val="{C39188CC-0368-499E-A4BB-CD6E835B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D24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copen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cadiafund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2019.blogs.uni-hamburg.de/" TargetMode="External"/><Relationship Id="rId11" Type="http://schemas.openxmlformats.org/officeDocument/2006/relationships/hyperlink" Target="https://qxmd.zendesk.com/hc/en-us/articles/360030850972-How-Does-Read-Get-You-Full-Text-" TargetMode="External"/><Relationship Id="rId5" Type="http://schemas.openxmlformats.org/officeDocument/2006/relationships/hyperlink" Target="https://www.jisc.ac.uk/" TargetMode="External"/><Relationship Id="rId10" Type="http://schemas.openxmlformats.org/officeDocument/2006/relationships/hyperlink" Target="https://ourresearch.org/" TargetMode="External"/><Relationship Id="rId4" Type="http://schemas.openxmlformats.org/officeDocument/2006/relationships/hyperlink" Target="https://core.ac.uk/data/" TargetMode="External"/><Relationship Id="rId9" Type="http://schemas.openxmlformats.org/officeDocument/2006/relationships/hyperlink" Target="https://openaccessbutton.org/libraries" TargetMode="External"/></Relationships>
</file>

<file path=word/theme/theme1.xml><?xml version="1.0" encoding="utf-8"?>
<a:theme xmlns:a="http://schemas.openxmlformats.org/drawingml/2006/main" name="Fac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Caudwell</dc:creator>
  <cp:keywords/>
  <dc:description/>
  <cp:lastModifiedBy>James Caudwell</cp:lastModifiedBy>
  <cp:revision>1</cp:revision>
  <dcterms:created xsi:type="dcterms:W3CDTF">2019-10-14T14:05:00Z</dcterms:created>
  <dcterms:modified xsi:type="dcterms:W3CDTF">2019-10-14T15:44:00Z</dcterms:modified>
</cp:coreProperties>
</file>